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 FINANCIAL CONTROLS AND REPORTING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color w:val="0e101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is committed to safeguarding assets and ensuring proper money management. Controls are intended to help detect accounting errors, prevent fraud and theft, and support those responsible for the organization's financial management.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0e101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e101a"/>
          <w:sz w:val="24"/>
          <w:szCs w:val="24"/>
          <w:rtl w:val="0"/>
        </w:rPr>
        <w:t xml:space="preserve">POLICY ON FINANCIAL CONTROLS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Financial Restrictions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person who can provide authorization]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provide authorization for signatures on contracts, checks, and orders for payment, receipt, deposit, or withdrawal of money, as well as access to securities of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Anyone authorized to purchase goods and/or services on behalf of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must adhere to procedures outlined in these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Management shall be responsible for reviewing and recommending to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any annual operating and capital budgets for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adopt annual operating and capital budgets.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No expense shall be incurred more than the authorization limits, and if a budget exists, the expense should be following the budget, subject to prior approval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Authorization to Sign Cheques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Cheques must be signed only following the authorization from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Following cheques' preparation for supplier payment, cheques will be sealed and posted without return to the cheque preparer.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Cash Disbursements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An authorized cheque signer will make disbursements only after the transaction has been reviewed and approved, even for a check with adequate supporting documentation, such as a purchase order and evidence of receipts for goods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procedure for gathering and verifying documentation, etc., will be consistent with office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Receipts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] will determine and approve the appropriate reimbursable expenses.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No reimbursement will be made for expenditures without adequate documentation, including, but not limited to, the date, location, attendees, purpose, and description of how the activity advances the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may impose additional restrictions at any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Invoices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maintain bank accounts with major financial institutions designated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Owner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 All funds received must be deposited consistently.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Signing Authority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will provide authorization to sign checks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Authorization to use business or Owner credit cards may be provided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and used in conjunction with the expressly stated limits.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Any payment made to the preparer or processor of payment must be pre-approved by someone other than the payee.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Periodic Evaluation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shall review reports and/or lists of payments regularly.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Borrowing Funds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Only if expressly arranged or authorized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Loans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Only if expressly arranged or authorized by the </w:t>
      </w: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[Insert Position]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Credit Cards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will not provide corporate credit cards to employees.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 business credit card or a credit card may be used for business payments following authorization and payment policies.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color w:val="0e101a"/>
          <w:u w:val="single"/>
        </w:rPr>
      </w:pPr>
      <w:r w:rsidDel="00000000" w:rsidR="00000000" w:rsidRPr="00000000">
        <w:rPr>
          <w:rFonts w:ascii="Calibri" w:cs="Calibri" w:eastAsia="Calibri" w:hAnsi="Calibri"/>
          <w:color w:val="0e101a"/>
          <w:u w:val="single"/>
          <w:rtl w:val="0"/>
        </w:rPr>
        <w:t xml:space="preserve">Annual Report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This policy, as well as all banking authorities and procedures, must be reviewed annually and after any change in relevant personnel (Owner, Management or Bookkeeper)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color w:val="0e10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Failure to comply with this policy may result in disciplinary action, up to and including termination for cause.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GrTg+Bb/sON7MgLpAevr3KqKw==">CgMxLjAyCGguZ2pkZ3hzOAByITE4YU9Ca2NxYWxzTVQxU0hHSzJidTc2djBCU0hFcUFDMA==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